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3A" w:rsidRDefault="00156738">
      <w:pPr>
        <w:jc w:val="center"/>
        <w:rPr>
          <w:rFonts w:ascii="Times New Roman" w:eastAsia="Times New Roman" w:hAnsi="Times New Roman" w:cs="Times New Roman"/>
          <w:b/>
          <w:sz w:val="30"/>
        </w:rPr>
      </w:pPr>
      <w:proofErr w:type="gramStart"/>
      <w:r>
        <w:rPr>
          <w:rFonts w:ascii="宋体" w:eastAsia="宋体" w:hAnsi="宋体" w:cs="宋体"/>
          <w:b/>
          <w:sz w:val="30"/>
        </w:rPr>
        <w:t>孟宪承书院</w:t>
      </w:r>
      <w:proofErr w:type="gramEnd"/>
      <w:r>
        <w:rPr>
          <w:rFonts w:ascii="宋体" w:eastAsia="宋体" w:hAnsi="宋体" w:cs="宋体"/>
          <w:b/>
          <w:sz w:val="30"/>
        </w:rPr>
        <w:t>“导生共建课题”项目征集表</w:t>
      </w:r>
    </w:p>
    <w:tbl>
      <w:tblPr>
        <w:tblW w:w="8657" w:type="dxa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467"/>
        <w:gridCol w:w="467"/>
        <w:gridCol w:w="467"/>
        <w:gridCol w:w="502"/>
        <w:gridCol w:w="390"/>
        <w:gridCol w:w="468"/>
        <w:gridCol w:w="468"/>
        <w:gridCol w:w="468"/>
        <w:gridCol w:w="468"/>
        <w:gridCol w:w="468"/>
        <w:gridCol w:w="468"/>
        <w:gridCol w:w="468"/>
        <w:gridCol w:w="468"/>
        <w:gridCol w:w="781"/>
      </w:tblGrid>
      <w:tr w:rsidR="002A293A" w:rsidTr="00CD71D9">
        <w:trPr>
          <w:trHeight w:val="1"/>
        </w:trPr>
        <w:tc>
          <w:tcPr>
            <w:tcW w:w="18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导师姓名</w:t>
            </w:r>
          </w:p>
        </w:tc>
        <w:tc>
          <w:tcPr>
            <w:tcW w:w="6818" w:type="dxa"/>
            <w:gridSpan w:val="1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Pr="00E55F45" w:rsidRDefault="0015673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E55F45">
              <w:rPr>
                <w:rFonts w:ascii="宋体" w:eastAsia="宋体" w:hAnsi="宋体" w:cs="宋体"/>
                <w:sz w:val="24"/>
                <w:szCs w:val="24"/>
              </w:rPr>
              <w:t>钱初熹</w:t>
            </w:r>
          </w:p>
        </w:tc>
      </w:tr>
      <w:tr w:rsidR="002A293A" w:rsidTr="00CD71D9">
        <w:trPr>
          <w:trHeight w:val="1"/>
        </w:trPr>
        <w:tc>
          <w:tcPr>
            <w:tcW w:w="18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F855CD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1</w:t>
            </w:r>
            <w:r w:rsidR="00156738">
              <w:rPr>
                <w:rFonts w:ascii="宋体" w:eastAsia="宋体" w:hAnsi="宋体" w:cs="宋体"/>
                <w:b/>
              </w:rPr>
              <w:t>拟建课题名称</w:t>
            </w:r>
          </w:p>
        </w:tc>
        <w:tc>
          <w:tcPr>
            <w:tcW w:w="681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Pr="00E55F45" w:rsidRDefault="0015673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E55F45">
              <w:rPr>
                <w:rFonts w:ascii="宋体" w:eastAsia="宋体" w:hAnsi="宋体" w:cs="宋体"/>
                <w:sz w:val="24"/>
                <w:szCs w:val="24"/>
              </w:rPr>
              <w:t>美术鉴赏教育对学生艺术素养的影响探析</w:t>
            </w:r>
          </w:p>
        </w:tc>
        <w:bookmarkStart w:id="0" w:name="_GoBack"/>
        <w:bookmarkEnd w:id="0"/>
      </w:tr>
      <w:tr w:rsidR="002A293A" w:rsidTr="00CD71D9">
        <w:tc>
          <w:tcPr>
            <w:tcW w:w="18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  <w:b/>
              </w:rPr>
              <w:t>拟申报方向</w:t>
            </w:r>
          </w:p>
          <w:p w:rsidR="002A293A" w:rsidRDefault="00156738">
            <w:pPr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可复选</w:t>
            </w:r>
          </w:p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请在右边方框内填1</w:t>
            </w: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国家创新项目</w:t>
            </w:r>
          </w:p>
        </w:tc>
        <w:tc>
          <w:tcPr>
            <w:tcW w:w="4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2A293A" w:rsidTr="00CD71D9">
        <w:tc>
          <w:tcPr>
            <w:tcW w:w="183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市级创新项目</w:t>
            </w:r>
          </w:p>
        </w:tc>
        <w:tc>
          <w:tcPr>
            <w:tcW w:w="4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F855CD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</w:tr>
      <w:tr w:rsidR="002A293A" w:rsidTr="00CD71D9">
        <w:tc>
          <w:tcPr>
            <w:tcW w:w="183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教育研习项目</w:t>
            </w:r>
          </w:p>
        </w:tc>
        <w:tc>
          <w:tcPr>
            <w:tcW w:w="4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2A293A" w:rsidTr="00CD71D9">
        <w:tc>
          <w:tcPr>
            <w:tcW w:w="183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其他（请填写）</w:t>
            </w:r>
          </w:p>
        </w:tc>
        <w:tc>
          <w:tcPr>
            <w:tcW w:w="4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2A293A" w:rsidTr="00CD71D9">
        <w:trPr>
          <w:trHeight w:val="1"/>
        </w:trPr>
        <w:tc>
          <w:tcPr>
            <w:tcW w:w="18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学生人数上限</w:t>
            </w:r>
          </w:p>
        </w:tc>
        <w:tc>
          <w:tcPr>
            <w:tcW w:w="6818" w:type="dxa"/>
            <w:gridSpan w:val="1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4</w:t>
            </w:r>
            <w:r w:rsidR="00FD5AF6">
              <w:rPr>
                <w:rFonts w:ascii="宋体" w:eastAsia="宋体" w:hAnsi="宋体" w:cs="宋体" w:hint="eastAsia"/>
                <w:sz w:val="22"/>
              </w:rPr>
              <w:t>名</w:t>
            </w:r>
          </w:p>
        </w:tc>
      </w:tr>
      <w:tr w:rsidR="002A293A" w:rsidTr="00CD71D9">
        <w:trPr>
          <w:trHeight w:val="1"/>
        </w:trPr>
        <w:tc>
          <w:tcPr>
            <w:tcW w:w="18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  <w:b/>
              </w:rPr>
              <w:t>学生专业及年级要求</w:t>
            </w:r>
          </w:p>
          <w:p w:rsidR="002A293A" w:rsidRDefault="00156738">
            <w:pPr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请在对应方框内填1</w:t>
            </w:r>
          </w:p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如果无限制，可空白不填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数学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物理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化学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生物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地理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中文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英语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政治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历史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美术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音乐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体育</w:t>
            </w:r>
          </w:p>
        </w:tc>
      </w:tr>
      <w:tr w:rsidR="002A293A" w:rsidTr="00CD71D9">
        <w:trPr>
          <w:trHeight w:val="1"/>
        </w:trPr>
        <w:tc>
          <w:tcPr>
            <w:tcW w:w="183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大三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FD5AF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2A293A" w:rsidTr="00CD71D9">
        <w:trPr>
          <w:trHeight w:val="1"/>
        </w:trPr>
        <w:tc>
          <w:tcPr>
            <w:tcW w:w="183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大二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2A293A" w:rsidTr="00CD71D9">
        <w:trPr>
          <w:trHeight w:val="1"/>
        </w:trPr>
        <w:tc>
          <w:tcPr>
            <w:tcW w:w="183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大</w:t>
            </w:r>
            <w:proofErr w:type="gramStart"/>
            <w:r>
              <w:rPr>
                <w:rFonts w:ascii="楷体" w:eastAsia="楷体" w:hAnsi="楷体" w:cs="楷体"/>
              </w:rPr>
              <w:t>一</w:t>
            </w:r>
            <w:proofErr w:type="gramEnd"/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A293A" w:rsidRDefault="002A293A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2A293A" w:rsidTr="00CD71D9">
        <w:tc>
          <w:tcPr>
            <w:tcW w:w="18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课题简介</w:t>
            </w:r>
          </w:p>
        </w:tc>
        <w:tc>
          <w:tcPr>
            <w:tcW w:w="6818" w:type="dxa"/>
            <w:gridSpan w:val="1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D27F5C" w:rsidRPr="00D27F5C" w:rsidRDefault="00D27F5C" w:rsidP="00D27F5C">
            <w:pPr>
              <w:ind w:firstLine="420"/>
              <w:rPr>
                <w:rFonts w:asciiTheme="minorEastAsia" w:hAnsiTheme="minorEastAsia" w:cs="宋体"/>
                <w:sz w:val="24"/>
                <w:szCs w:val="24"/>
              </w:rPr>
            </w:pPr>
            <w:r w:rsidRPr="00D27F5C">
              <w:rPr>
                <w:rFonts w:ascii="宋体" w:eastAsia="宋体" w:hAnsi="宋体" w:cs="宋体" w:hint="eastAsia"/>
                <w:sz w:val="24"/>
                <w:szCs w:val="24"/>
              </w:rPr>
              <w:t>本课题</w:t>
            </w:r>
            <w:r>
              <w:rPr>
                <w:rFonts w:ascii="宋体" w:hAnsi="宋体" w:cs="宋体" w:hint="eastAsia"/>
                <w:sz w:val="24"/>
              </w:rPr>
              <w:t>响应2015年9月国务院下发的</w:t>
            </w:r>
            <w:r w:rsidRPr="00D27F5C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《全面加强和改进学校美育工作的意见》，</w:t>
            </w:r>
            <w:r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旨在切实提高中小学生的艺术素养。</w:t>
            </w:r>
          </w:p>
          <w:p w:rsidR="00CD71D9" w:rsidRPr="00CD71D9" w:rsidRDefault="00CD71D9" w:rsidP="00C07B28">
            <w:pPr>
              <w:widowControl/>
              <w:shd w:val="clear" w:color="auto" w:fill="FFFFFF"/>
              <w:ind w:firstLineChars="200" w:firstLine="480"/>
              <w:outlineLvl w:val="0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美术鉴赏是运用感知、记忆、经验、知识,对美术作品,进行感受、体验、分析、判断,</w:t>
            </w:r>
            <w:r w:rsidR="00C07B28" w:rsidRPr="00C07B28">
              <w:rPr>
                <w:rFonts w:asciiTheme="minorEastAsia" w:hAnsiTheme="minorEastAsia" w:cs="Arial"/>
                <w:kern w:val="0"/>
                <w:sz w:val="24"/>
                <w:szCs w:val="24"/>
              </w:rPr>
              <w:t>从而获得审美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能力</w:t>
            </w: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和其他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学科（如历史、地理等）</w:t>
            </w:r>
            <w:r w:rsidR="00C07B28" w:rsidRPr="00C07B28">
              <w:rPr>
                <w:rFonts w:asciiTheme="minorEastAsia" w:hAnsiTheme="minorEastAsia" w:cs="Arial"/>
                <w:kern w:val="0"/>
                <w:sz w:val="24"/>
                <w:szCs w:val="24"/>
              </w:rPr>
              <w:t>知识的过程。</w:t>
            </w:r>
            <w:r w:rsidR="00C07B28"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美术鉴赏教学是培养美术鉴赏能力的重要途径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。</w:t>
            </w:r>
            <w:r w:rsidR="00C07B28" w:rsidRPr="00C07B28">
              <w:rPr>
                <w:rFonts w:asciiTheme="minorEastAsia" w:hAnsiTheme="minorEastAsia" w:cs="Arial"/>
                <w:kern w:val="0"/>
                <w:sz w:val="24"/>
                <w:szCs w:val="24"/>
              </w:rPr>
              <w:t>通过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开展</w:t>
            </w: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美术鉴赏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教学</w:t>
            </w: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活动,可以提高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中小学生</w:t>
            </w: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的综合美术素养。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因此，</w:t>
            </w: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开发适合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中小</w:t>
            </w: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学生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的</w:t>
            </w:r>
            <w:r w:rsidR="00C07B28" w:rsidRPr="00C07B28">
              <w:rPr>
                <w:rFonts w:asciiTheme="minorEastAsia" w:hAnsiTheme="minorEastAsia" w:cs="Arial"/>
                <w:kern w:val="0"/>
                <w:sz w:val="24"/>
                <w:szCs w:val="24"/>
              </w:rPr>
              <w:t>优质</w:t>
            </w: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美术鉴赏课程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并予以实施，</w:t>
            </w: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对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促进</w:t>
            </w: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中学美术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课程与</w:t>
            </w: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教学</w:t>
            </w:r>
            <w:r w:rsidR="00C07B28"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发展</w:t>
            </w:r>
            <w:r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具有重要意义。</w:t>
            </w:r>
          </w:p>
          <w:p w:rsidR="002A293A" w:rsidRDefault="00C07B28" w:rsidP="00C07B28">
            <w:pPr>
              <w:widowControl/>
              <w:shd w:val="clear" w:color="auto" w:fill="FFFFFF"/>
              <w:ind w:firstLineChars="200" w:firstLine="480"/>
              <w:outlineLvl w:val="0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  <w:r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本</w:t>
            </w:r>
            <w:r w:rsidRPr="00C07B28">
              <w:rPr>
                <w:rFonts w:asciiTheme="minorEastAsia" w:hAnsiTheme="minorEastAsia" w:cs="Arial"/>
                <w:kern w:val="0"/>
                <w:sz w:val="24"/>
                <w:szCs w:val="24"/>
              </w:rPr>
              <w:t>课题内容包括：课程</w:t>
            </w:r>
            <w:r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开发，</w:t>
            </w:r>
            <w:r w:rsidRPr="00C07B28">
              <w:rPr>
                <w:rFonts w:asciiTheme="minorEastAsia" w:hAnsiTheme="minorEastAsia" w:cs="Arial"/>
                <w:kern w:val="0"/>
                <w:sz w:val="24"/>
                <w:szCs w:val="24"/>
              </w:rPr>
              <w:t>课程实施</w:t>
            </w:r>
            <w:r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；</w:t>
            </w:r>
            <w:r w:rsidR="00CD71D9" w:rsidRPr="00CD71D9">
              <w:rPr>
                <w:rFonts w:asciiTheme="minorEastAsia" w:hAnsiTheme="minorEastAsia" w:cs="Arial"/>
                <w:kern w:val="0"/>
                <w:sz w:val="24"/>
                <w:szCs w:val="24"/>
              </w:rPr>
              <w:t>对学生进行艺术测评</w:t>
            </w:r>
            <w:r w:rsidRPr="00C07B2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，以评估课程与教学的有效性。</w:t>
            </w:r>
          </w:p>
          <w:p w:rsidR="00D27F5C" w:rsidRPr="00C07B28" w:rsidRDefault="00D27F5C" w:rsidP="00C07B28">
            <w:pPr>
              <w:widowControl/>
              <w:shd w:val="clear" w:color="auto" w:fill="FFFFFF"/>
              <w:ind w:firstLineChars="200" w:firstLine="480"/>
              <w:outlineLvl w:val="0"/>
              <w:rPr>
                <w:rFonts w:asciiTheme="minorEastAsia" w:hAnsiTheme="minorEastAsia" w:cs="Arial"/>
                <w:kern w:val="0"/>
                <w:sz w:val="24"/>
                <w:szCs w:val="24"/>
              </w:rPr>
            </w:pPr>
          </w:p>
        </w:tc>
      </w:tr>
      <w:tr w:rsidR="002A293A" w:rsidTr="00CD71D9">
        <w:tc>
          <w:tcPr>
            <w:tcW w:w="18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要做的主要工作</w:t>
            </w:r>
          </w:p>
        </w:tc>
        <w:tc>
          <w:tcPr>
            <w:tcW w:w="681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A293A" w:rsidRPr="00C07B28" w:rsidRDefault="00CD71D9" w:rsidP="00C07B28">
            <w:pPr>
              <w:widowControl/>
              <w:shd w:val="clear" w:color="auto" w:fill="FFFFFF"/>
              <w:ind w:firstLineChars="200" w:firstLine="480"/>
              <w:jc w:val="left"/>
              <w:outlineLvl w:val="0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CD71D9">
              <w:rPr>
                <w:rFonts w:ascii="宋体" w:eastAsia="宋体" w:hAnsi="宋体" w:cs="宋体"/>
                <w:sz w:val="24"/>
                <w:szCs w:val="24"/>
              </w:rPr>
              <w:t>用费尔德曼</w:t>
            </w:r>
            <w:proofErr w:type="gramEnd"/>
            <w:r w:rsidR="00C07B28" w:rsidRPr="00C07B28">
              <w:rPr>
                <w:rFonts w:ascii="宋体" w:eastAsia="宋体" w:hAnsi="宋体" w:cs="宋体" w:hint="eastAsia"/>
                <w:sz w:val="24"/>
                <w:szCs w:val="24"/>
              </w:rPr>
              <w:t>的</w:t>
            </w:r>
            <w:r w:rsidRPr="00CD71D9">
              <w:rPr>
                <w:rFonts w:ascii="宋体" w:eastAsia="宋体" w:hAnsi="宋体" w:cs="宋体"/>
                <w:sz w:val="24"/>
                <w:szCs w:val="24"/>
              </w:rPr>
              <w:t>四步分析法对雕塑、油画、中国画、现当代艺术四个部分进行美术鉴赏</w:t>
            </w:r>
            <w:r w:rsidR="00C07B28" w:rsidRPr="00C07B28">
              <w:rPr>
                <w:rFonts w:ascii="宋体" w:eastAsia="宋体" w:hAnsi="宋体" w:cs="宋体" w:hint="eastAsia"/>
                <w:sz w:val="24"/>
                <w:szCs w:val="24"/>
              </w:rPr>
              <w:t>课程开发，教材编写，</w:t>
            </w:r>
            <w:r w:rsidR="00C07B28" w:rsidRPr="00C07B28">
              <w:rPr>
                <w:rFonts w:ascii="宋体" w:eastAsia="宋体" w:hAnsi="宋体" w:cs="宋体"/>
                <w:sz w:val="24"/>
                <w:szCs w:val="24"/>
              </w:rPr>
              <w:t>教案</w:t>
            </w:r>
            <w:r w:rsidR="00C07B28" w:rsidRPr="00C07B28">
              <w:rPr>
                <w:rFonts w:ascii="宋体" w:eastAsia="宋体" w:hAnsi="宋体" w:cs="宋体" w:hint="eastAsia"/>
                <w:sz w:val="24"/>
                <w:szCs w:val="24"/>
              </w:rPr>
              <w:t>和</w:t>
            </w:r>
            <w:r w:rsidR="00C07B28" w:rsidRPr="00C07B28">
              <w:rPr>
                <w:rFonts w:ascii="宋体" w:eastAsia="宋体" w:hAnsi="宋体" w:cs="宋体"/>
                <w:sz w:val="24"/>
                <w:szCs w:val="24"/>
              </w:rPr>
              <w:t>课件</w:t>
            </w:r>
            <w:r w:rsidR="00C07B28" w:rsidRPr="00C07B28">
              <w:rPr>
                <w:rFonts w:ascii="宋体" w:eastAsia="宋体" w:hAnsi="宋体" w:cs="宋体" w:hint="eastAsia"/>
                <w:sz w:val="24"/>
                <w:szCs w:val="24"/>
              </w:rPr>
              <w:t>设计</w:t>
            </w:r>
            <w:r w:rsidRPr="00CD71D9">
              <w:rPr>
                <w:rFonts w:ascii="宋体" w:eastAsia="宋体" w:hAnsi="宋体" w:cs="宋体"/>
                <w:sz w:val="24"/>
                <w:szCs w:val="24"/>
              </w:rPr>
              <w:t>，并对</w:t>
            </w:r>
            <w:r w:rsidR="00C07B28" w:rsidRPr="00C07B28">
              <w:rPr>
                <w:rFonts w:ascii="宋体" w:eastAsia="宋体" w:hAnsi="宋体" w:cs="宋体" w:hint="eastAsia"/>
                <w:sz w:val="24"/>
                <w:szCs w:val="24"/>
              </w:rPr>
              <w:t>接</w:t>
            </w:r>
            <w:r w:rsidRPr="00CD71D9">
              <w:rPr>
                <w:rFonts w:ascii="宋体" w:eastAsia="宋体" w:hAnsi="宋体" w:cs="宋体"/>
                <w:sz w:val="24"/>
                <w:szCs w:val="24"/>
              </w:rPr>
              <w:t>受美术鉴赏教育的</w:t>
            </w:r>
            <w:r w:rsidR="00C07B28" w:rsidRPr="00C07B28">
              <w:rPr>
                <w:rFonts w:ascii="宋体" w:eastAsia="宋体" w:hAnsi="宋体" w:cs="宋体" w:hint="eastAsia"/>
                <w:sz w:val="24"/>
                <w:szCs w:val="24"/>
              </w:rPr>
              <w:t>中小</w:t>
            </w:r>
            <w:r w:rsidRPr="00CD71D9">
              <w:rPr>
                <w:rFonts w:ascii="宋体" w:eastAsia="宋体" w:hAnsi="宋体" w:cs="宋体"/>
                <w:sz w:val="24"/>
                <w:szCs w:val="24"/>
              </w:rPr>
              <w:t>学生进行艺术测评。</w:t>
            </w:r>
          </w:p>
          <w:p w:rsidR="00C07B28" w:rsidRPr="00C07B28" w:rsidRDefault="00C07B28" w:rsidP="00C07B28">
            <w:pPr>
              <w:widowControl/>
              <w:shd w:val="clear" w:color="auto" w:fill="FFFFFF"/>
              <w:ind w:firstLineChars="200" w:firstLine="420"/>
              <w:jc w:val="left"/>
              <w:outlineLvl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2A293A" w:rsidTr="00CD71D9">
        <w:tc>
          <w:tcPr>
            <w:tcW w:w="18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/>
                <w:b/>
              </w:rPr>
              <w:t>依托条件</w:t>
            </w:r>
          </w:p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请注明开展课题研究所需要借助的实验室、中小学课堂、档案馆或其他软硬件条件</w:t>
            </w:r>
          </w:p>
        </w:tc>
        <w:tc>
          <w:tcPr>
            <w:tcW w:w="681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A293A" w:rsidRPr="00156738" w:rsidRDefault="0015673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 w:rsidRPr="00156738">
              <w:rPr>
                <w:rFonts w:ascii="宋体" w:eastAsia="宋体" w:hAnsi="宋体" w:cs="宋体"/>
                <w:sz w:val="24"/>
                <w:szCs w:val="24"/>
              </w:rPr>
              <w:t>中小学</w:t>
            </w:r>
            <w:r w:rsidR="00E55F45" w:rsidRPr="00156738">
              <w:rPr>
                <w:rFonts w:ascii="宋体" w:eastAsia="宋体" w:hAnsi="宋体" w:cs="宋体" w:hint="eastAsia"/>
                <w:sz w:val="24"/>
                <w:szCs w:val="24"/>
              </w:rPr>
              <w:t>美术</w:t>
            </w:r>
            <w:r w:rsidRPr="00156738">
              <w:rPr>
                <w:rFonts w:ascii="宋体" w:eastAsia="宋体" w:hAnsi="宋体" w:cs="宋体"/>
                <w:sz w:val="24"/>
                <w:szCs w:val="24"/>
              </w:rPr>
              <w:t>课堂</w:t>
            </w:r>
            <w:r w:rsidR="00E55F45" w:rsidRPr="00156738">
              <w:rPr>
                <w:rFonts w:ascii="宋体" w:eastAsia="宋体" w:hAnsi="宋体" w:cs="宋体" w:hint="eastAsia"/>
                <w:sz w:val="24"/>
                <w:szCs w:val="24"/>
              </w:rPr>
              <w:t>（教育实习时，美术鉴赏课程完全可以实施；并可以对中小学生的美术素养</w:t>
            </w:r>
            <w:proofErr w:type="gramStart"/>
            <w:r w:rsidR="00E55F45" w:rsidRPr="00156738">
              <w:rPr>
                <w:rFonts w:ascii="宋体" w:eastAsia="宋体" w:hAnsi="宋体" w:cs="宋体" w:hint="eastAsia"/>
                <w:sz w:val="24"/>
                <w:szCs w:val="24"/>
              </w:rPr>
              <w:t>进行前测与</w:t>
            </w:r>
            <w:proofErr w:type="gramEnd"/>
            <w:r w:rsidR="00E55F45" w:rsidRPr="00156738">
              <w:rPr>
                <w:rFonts w:ascii="宋体" w:eastAsia="宋体" w:hAnsi="宋体" w:cs="宋体" w:hint="eastAsia"/>
                <w:sz w:val="24"/>
                <w:szCs w:val="24"/>
              </w:rPr>
              <w:t>后测）。</w:t>
            </w:r>
          </w:p>
        </w:tc>
      </w:tr>
      <w:tr w:rsidR="002A293A" w:rsidTr="00CD71D9">
        <w:tc>
          <w:tcPr>
            <w:tcW w:w="18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/>
                <w:b/>
              </w:rPr>
              <w:t>对参与学生要求</w:t>
            </w:r>
          </w:p>
          <w:p w:rsidR="002A293A" w:rsidRDefault="00156738">
            <w:pPr>
              <w:jc w:val="center"/>
            </w:pPr>
            <w:r>
              <w:rPr>
                <w:rFonts w:ascii="楷体" w:eastAsia="楷体" w:hAnsi="楷体" w:cs="楷体"/>
              </w:rPr>
              <w:t>可填写参与学生所需能力、特长等，或直接推荐导师认为适合的学生名单</w:t>
            </w:r>
          </w:p>
        </w:tc>
        <w:tc>
          <w:tcPr>
            <w:tcW w:w="681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A293A" w:rsidRPr="00C07B28" w:rsidRDefault="00156738" w:rsidP="00D27F5C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C07B28">
              <w:rPr>
                <w:rFonts w:ascii="宋体" w:eastAsia="宋体" w:hAnsi="宋体" w:cs="宋体"/>
                <w:sz w:val="24"/>
                <w:szCs w:val="24"/>
              </w:rPr>
              <w:t>陈唯一、朱泓晔、贾瑞、钱雨菲</w:t>
            </w:r>
          </w:p>
        </w:tc>
      </w:tr>
      <w:tr w:rsidR="002A293A" w:rsidTr="00CD71D9">
        <w:tc>
          <w:tcPr>
            <w:tcW w:w="18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推荐阅读文献</w:t>
            </w:r>
          </w:p>
        </w:tc>
        <w:tc>
          <w:tcPr>
            <w:tcW w:w="681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A293A" w:rsidRPr="00D27F5C" w:rsidRDefault="00CD71D9" w:rsidP="00D27F5C">
            <w:pPr>
              <w:rPr>
                <w:rFonts w:ascii="宋体" w:eastAsia="宋体" w:hAnsi="宋体" w:cs="宋体"/>
                <w:sz w:val="24"/>
              </w:rPr>
            </w:pPr>
            <w:r w:rsidRPr="00D27F5C">
              <w:rPr>
                <w:rFonts w:ascii="宋体" w:eastAsia="宋体" w:hAnsi="宋体" w:cs="宋体"/>
                <w:sz w:val="24"/>
              </w:rPr>
              <w:t>钱初熹</w:t>
            </w:r>
            <w:r w:rsidRPr="00D27F5C">
              <w:rPr>
                <w:rFonts w:ascii="宋体" w:eastAsia="宋体" w:hAnsi="宋体" w:cs="宋体" w:hint="eastAsia"/>
                <w:sz w:val="24"/>
              </w:rPr>
              <w:t>主编</w:t>
            </w:r>
            <w:r w:rsidR="00156738" w:rsidRPr="00D27F5C">
              <w:rPr>
                <w:rFonts w:ascii="宋体" w:eastAsia="宋体" w:hAnsi="宋体" w:cs="宋体"/>
                <w:sz w:val="24"/>
              </w:rPr>
              <w:t>《美术鉴赏及其教学》</w:t>
            </w:r>
            <w:r w:rsidRPr="00D27F5C">
              <w:rPr>
                <w:rFonts w:ascii="宋体" w:eastAsia="宋体" w:hAnsi="宋体" w:cs="宋体" w:hint="eastAsia"/>
                <w:sz w:val="24"/>
              </w:rPr>
              <w:t>,人民美术出版社，</w:t>
            </w:r>
            <w:r w:rsidR="00C07B28" w:rsidRPr="00D27F5C">
              <w:rPr>
                <w:rFonts w:ascii="宋体" w:eastAsia="宋体" w:hAnsi="宋体" w:cs="宋体" w:hint="eastAsia"/>
                <w:sz w:val="24"/>
              </w:rPr>
              <w:t>2007</w:t>
            </w:r>
            <w:r w:rsidRPr="00D27F5C">
              <w:rPr>
                <w:rFonts w:ascii="宋体" w:eastAsia="宋体" w:hAnsi="宋体" w:cs="宋体" w:hint="eastAsia"/>
                <w:sz w:val="24"/>
              </w:rPr>
              <w:t>年</w:t>
            </w:r>
          </w:p>
          <w:p w:rsidR="002A293A" w:rsidRPr="00CD71D9" w:rsidRDefault="00CD71D9" w:rsidP="00D27F5C">
            <w:pPr>
              <w:rPr>
                <w:rFonts w:ascii="宋体" w:eastAsia="宋体" w:hAnsi="宋体" w:cs="宋体"/>
                <w:sz w:val="22"/>
              </w:rPr>
            </w:pPr>
            <w:r w:rsidRPr="00D27F5C">
              <w:rPr>
                <w:rFonts w:ascii="宋体" w:eastAsia="宋体" w:hAnsi="宋体" w:cs="宋体" w:hint="eastAsia"/>
                <w:sz w:val="24"/>
              </w:rPr>
              <w:t>钱初熹主编《美术基础》，高等教育出版社，2012年</w:t>
            </w:r>
          </w:p>
        </w:tc>
      </w:tr>
      <w:tr w:rsidR="002A293A" w:rsidTr="00CD71D9">
        <w:tc>
          <w:tcPr>
            <w:tcW w:w="18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pct12" w:color="auto" w:fill="auto"/>
            <w:tcMar>
              <w:left w:w="28" w:type="dxa"/>
              <w:right w:w="28" w:type="dxa"/>
            </w:tcMar>
            <w:vAlign w:val="center"/>
          </w:tcPr>
          <w:p w:rsidR="002A293A" w:rsidRDefault="0015673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备注</w:t>
            </w:r>
          </w:p>
        </w:tc>
        <w:tc>
          <w:tcPr>
            <w:tcW w:w="6818" w:type="dxa"/>
            <w:gridSpan w:val="1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D27F5C" w:rsidRDefault="00D27F5C" w:rsidP="00D27F5C">
            <w:pPr>
              <w:ind w:firstLine="420"/>
              <w:rPr>
                <w:rFonts w:ascii="宋体" w:eastAsia="宋体" w:hAnsi="宋体" w:cs="宋体"/>
                <w:sz w:val="22"/>
              </w:rPr>
            </w:pPr>
          </w:p>
        </w:tc>
      </w:tr>
    </w:tbl>
    <w:p w:rsidR="002A293A" w:rsidRDefault="002A293A">
      <w:pPr>
        <w:rPr>
          <w:rFonts w:ascii="Times New Roman" w:eastAsia="Times New Roman" w:hAnsi="Times New Roman" w:cs="Times New Roman"/>
        </w:rPr>
      </w:pPr>
    </w:p>
    <w:sectPr w:rsidR="002A29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A293A"/>
    <w:rsid w:val="00156738"/>
    <w:rsid w:val="002A293A"/>
    <w:rsid w:val="00C07B28"/>
    <w:rsid w:val="00CD71D9"/>
    <w:rsid w:val="00D27F5C"/>
    <w:rsid w:val="00E55F45"/>
    <w:rsid w:val="00F855CD"/>
    <w:rsid w:val="00FD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</Words>
  <Characters>704</Characters>
  <Application>Microsoft Office Word</Application>
  <DocSecurity>0</DocSecurity>
  <Lines>5</Lines>
  <Paragraphs>1</Paragraphs>
  <ScaleCrop>false</ScaleCrop>
  <Company>Toshiba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qian</cp:lastModifiedBy>
  <cp:revision>5</cp:revision>
  <dcterms:created xsi:type="dcterms:W3CDTF">2016-04-03T00:09:00Z</dcterms:created>
  <dcterms:modified xsi:type="dcterms:W3CDTF">2016-04-03T00:43:00Z</dcterms:modified>
</cp:coreProperties>
</file>