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0D" w:rsidRPr="001120D5" w:rsidRDefault="00E5742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</w:t>
      </w:r>
      <w:r w:rsidR="0094170D"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Default="002B7A70" w:rsidP="0094170D">
            <w:r>
              <w:rPr>
                <w:rFonts w:hint="eastAsia"/>
              </w:rPr>
              <w:t>王远</w:t>
            </w:r>
          </w:p>
        </w:tc>
      </w:tr>
      <w:tr w:rsidR="0094170D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:rsidR="0094170D" w:rsidRDefault="00E5742D" w:rsidP="00503B89">
            <w:r>
              <w:rPr>
                <w:rFonts w:hint="eastAsia"/>
              </w:rPr>
              <w:t>上海新兴</w:t>
            </w:r>
            <w:r w:rsidR="00082735">
              <w:rPr>
                <w:rFonts w:hint="eastAsia"/>
              </w:rPr>
              <w:t>创意园区</w:t>
            </w:r>
            <w:r w:rsidR="00503B89">
              <w:rPr>
                <w:rFonts w:hint="eastAsia"/>
              </w:rPr>
              <w:t>画展与艺术家之间存在的问题及对策</w:t>
            </w:r>
            <w:r w:rsidR="00082735">
              <w:rPr>
                <w:rFonts w:hint="eastAsia"/>
              </w:rPr>
              <w:t>——以“红坊”为例</w:t>
            </w:r>
          </w:p>
        </w:tc>
      </w:tr>
      <w:tr w:rsidR="0094170D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2B7A70" w:rsidP="00AC0F0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RPr="0094170D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94170D" w:rsidRDefault="00FB5B0A" w:rsidP="009417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94170D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C730B5" w:rsidP="0094170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FB5B0A" w:rsidP="0094170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:rsidR="00E63A36" w:rsidRDefault="00350712" w:rsidP="00AC0F09">
            <w:pPr>
              <w:ind w:firstLineChars="200" w:firstLine="420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目前绘画作品</w:t>
            </w:r>
            <w:r w:rsidR="00E63A36">
              <w:rPr>
                <w:rFonts w:hint="eastAsia"/>
              </w:rPr>
              <w:t>的展出</w:t>
            </w:r>
            <w:r w:rsidR="00082735">
              <w:rPr>
                <w:rFonts w:hint="eastAsia"/>
              </w:rPr>
              <w:t>和策展方式层出不穷，</w:t>
            </w:r>
            <w:r w:rsidR="00E63A36">
              <w:rPr>
                <w:rFonts w:hint="eastAsia"/>
              </w:rPr>
              <w:t>越来越多的画展意识到，艺术作品的品味和质量，及其所呈现的艺术感染力远比视觉冲击力更能引起观赏者共鸣。然而达到这一理想效果，需要展览和艺术家之间产生真正的互动，艺术家不应是在展览开幕之时才出现</w:t>
            </w:r>
            <w:r>
              <w:rPr>
                <w:rFonts w:hint="eastAsia"/>
              </w:rPr>
              <w:t>，或是</w:t>
            </w:r>
            <w:r w:rsidR="00EB18F8">
              <w:rPr>
                <w:rFonts w:hint="eastAsia"/>
              </w:rPr>
              <w:t>具有社会普遍认可的一个名号或</w:t>
            </w:r>
            <w:r w:rsidR="00E63A36">
              <w:rPr>
                <w:rFonts w:hint="eastAsia"/>
              </w:rPr>
              <w:t>头衔，而</w:t>
            </w:r>
            <w:r w:rsidR="00EB18F8">
              <w:rPr>
                <w:rFonts w:hint="eastAsia"/>
              </w:rPr>
              <w:t>应与展览以及观赏者之间产生</w:t>
            </w:r>
            <w:r w:rsidR="00E63A36">
              <w:rPr>
                <w:rFonts w:hint="eastAsia"/>
              </w:rPr>
              <w:t>互</w:t>
            </w:r>
            <w:r w:rsidR="00EB18F8">
              <w:rPr>
                <w:rFonts w:hint="eastAsia"/>
              </w:rPr>
              <w:t>动与交流，他们的艺术感受力包括画家</w:t>
            </w:r>
            <w:r w:rsidR="00E63A36">
              <w:rPr>
                <w:rFonts w:hint="eastAsia"/>
              </w:rPr>
              <w:t>对于作品的诠释也应成为展览的一部分。</w:t>
            </w:r>
          </w:p>
          <w:p w:rsidR="00555DCC" w:rsidRDefault="00082735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博物馆和美术馆</w:t>
            </w:r>
            <w:r w:rsidR="00EB18F8">
              <w:rPr>
                <w:rFonts w:hint="eastAsia"/>
              </w:rPr>
              <w:t>展览相对传统单一，大多依靠规模的宏大或是艺术家的社会影响力而得到关注，上海除了美术馆和博物馆之外还有许多新兴的创意园区中</w:t>
            </w:r>
            <w:r w:rsidR="00555DCC">
              <w:rPr>
                <w:rFonts w:hint="eastAsia"/>
              </w:rPr>
              <w:t>拥有</w:t>
            </w:r>
            <w:r w:rsidR="00EB18F8">
              <w:rPr>
                <w:rFonts w:hint="eastAsia"/>
              </w:rPr>
              <w:t>大量的画廊和艺术家工作室，在大多艺术空间中存在着艺术家与展览的割</w:t>
            </w:r>
            <w:r w:rsidR="00555DCC">
              <w:rPr>
                <w:rFonts w:hint="eastAsia"/>
              </w:rPr>
              <w:t>裂问题</w:t>
            </w:r>
            <w:r w:rsidR="00EB18F8">
              <w:rPr>
                <w:rFonts w:hint="eastAsia"/>
              </w:rPr>
              <w:t>，例如</w:t>
            </w:r>
            <w:r w:rsidR="00555DCC">
              <w:rPr>
                <w:rFonts w:hint="eastAsia"/>
              </w:rPr>
              <w:t>观众</w:t>
            </w:r>
            <w:r w:rsidR="00EB18F8">
              <w:rPr>
                <w:rFonts w:hint="eastAsia"/>
              </w:rPr>
              <w:t>看到了具有创意的</w:t>
            </w:r>
            <w:r w:rsidR="00555DCC">
              <w:rPr>
                <w:rFonts w:hint="eastAsia"/>
              </w:rPr>
              <w:t>展览形式，再去看宣传海报或是艺术家的介绍后</w:t>
            </w:r>
            <w:r w:rsidR="00350712">
              <w:rPr>
                <w:rFonts w:hint="eastAsia"/>
              </w:rPr>
              <w:t>发现</w:t>
            </w:r>
            <w:r w:rsidR="00555DCC">
              <w:rPr>
                <w:rFonts w:hint="eastAsia"/>
              </w:rPr>
              <w:t>全然理解错误了，画展求新求异的形式固然很重要，但是一味地追求画展的视觉效果或是影响力，忽视了艺术家真正的艺术创作品味，缺乏诠释，必定会影响艺术展览的真正效果，画展并不是对画作的简单呈现，</w:t>
            </w:r>
            <w:r w:rsidR="00350712">
              <w:rPr>
                <w:rFonts w:hint="eastAsia"/>
              </w:rPr>
              <w:t>而应让艺术家的创作理念和</w:t>
            </w:r>
            <w:r w:rsidR="00555DCC">
              <w:rPr>
                <w:rFonts w:hint="eastAsia"/>
              </w:rPr>
              <w:t>艺术气质融入其中，以帮助观赏者进行有效的解读</w:t>
            </w:r>
            <w:r w:rsidR="00350712">
              <w:rPr>
                <w:rFonts w:hint="eastAsia"/>
              </w:rPr>
              <w:t>，从而提高对艺术的审美力</w:t>
            </w:r>
            <w:r w:rsidR="00555DCC">
              <w:rPr>
                <w:rFonts w:hint="eastAsia"/>
              </w:rPr>
              <w:t>。</w:t>
            </w:r>
          </w:p>
          <w:p w:rsidR="00DF1321" w:rsidRDefault="00DF1321" w:rsidP="00DF132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艺术家与画展的互动问题值得研究，</w:t>
            </w:r>
            <w:r w:rsidR="00350712">
              <w:rPr>
                <w:rFonts w:hint="eastAsia"/>
              </w:rPr>
              <w:t>这</w:t>
            </w:r>
            <w:r>
              <w:rPr>
                <w:rFonts w:hint="eastAsia"/>
              </w:rPr>
              <w:t>不仅提高</w:t>
            </w:r>
            <w:r w:rsidR="00350712">
              <w:rPr>
                <w:rFonts w:hint="eastAsia"/>
              </w:rPr>
              <w:t>了</w:t>
            </w:r>
            <w:r>
              <w:rPr>
                <w:rFonts w:hint="eastAsia"/>
              </w:rPr>
              <w:t>艺术家自己的身份定位，也能让人们更多地了解艺术，讲座和具体的笔记材料是一种展出方式，影像也是一种展出方式，但是这</w:t>
            </w:r>
            <w:r w:rsidR="00555DCC">
              <w:rPr>
                <w:rFonts w:hint="eastAsia"/>
              </w:rPr>
              <w:t>些割裂开的形式，不便于一般观众的接受，互动的方式应当潜移默化并与展览相互</w:t>
            </w:r>
            <w:r>
              <w:rPr>
                <w:rFonts w:hint="eastAsia"/>
              </w:rPr>
              <w:t>融合</w:t>
            </w:r>
            <w:r w:rsidR="00555DCC">
              <w:rPr>
                <w:rFonts w:hint="eastAsia"/>
              </w:rPr>
              <w:t>。</w:t>
            </w:r>
          </w:p>
          <w:p w:rsidR="00C730B5" w:rsidRDefault="00C730B5" w:rsidP="00AC0F09">
            <w:pPr>
              <w:ind w:firstLineChars="200" w:firstLine="420"/>
            </w:pPr>
            <w:r>
              <w:rPr>
                <w:rFonts w:hint="eastAsia"/>
              </w:rPr>
              <w:t>研究内容</w:t>
            </w:r>
            <w:r>
              <w:rPr>
                <w:rFonts w:hint="eastAsia"/>
              </w:rPr>
              <w:t>:</w:t>
            </w:r>
          </w:p>
          <w:p w:rsidR="00167EC9" w:rsidRDefault="00555DCC" w:rsidP="00555DCC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画展涉及的范围和具体艺术样式的分类</w:t>
            </w:r>
          </w:p>
          <w:p w:rsidR="0056029D" w:rsidRDefault="0056029D" w:rsidP="00555DCC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当下存在的具体问题</w:t>
            </w:r>
          </w:p>
          <w:p w:rsidR="0056029D" w:rsidRDefault="0056029D" w:rsidP="0056029D">
            <w:pPr>
              <w:pStyle w:val="a6"/>
              <w:ind w:left="63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画展主体</w:t>
            </w:r>
          </w:p>
          <w:p w:rsidR="0056029D" w:rsidRDefault="0056029D" w:rsidP="0056029D">
            <w:pPr>
              <w:pStyle w:val="a6"/>
              <w:ind w:left="63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参观者</w:t>
            </w:r>
          </w:p>
          <w:p w:rsidR="0056029D" w:rsidRDefault="0056029D" w:rsidP="0056029D">
            <w:pPr>
              <w:pStyle w:val="a6"/>
              <w:ind w:left="63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展馆</w:t>
            </w:r>
          </w:p>
          <w:p w:rsidR="0056029D" w:rsidRDefault="0056029D" w:rsidP="005602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三、应对的策略</w:t>
            </w:r>
          </w:p>
          <w:p w:rsidR="0056029D" w:rsidRDefault="0056029D" w:rsidP="005602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1.</w:t>
            </w:r>
            <w:r>
              <w:rPr>
                <w:rFonts w:hint="eastAsia"/>
              </w:rPr>
              <w:t>成功案例的特点</w:t>
            </w:r>
          </w:p>
          <w:p w:rsidR="0056029D" w:rsidRDefault="0056029D" w:rsidP="005602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．多样化</w:t>
            </w:r>
          </w:p>
          <w:p w:rsidR="0056029D" w:rsidRDefault="0056029D" w:rsidP="005602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3.</w:t>
            </w:r>
            <w:r>
              <w:rPr>
                <w:rFonts w:hint="eastAsia"/>
              </w:rPr>
              <w:t>解读艺术家</w:t>
            </w:r>
          </w:p>
          <w:p w:rsidR="00167EC9" w:rsidRDefault="0056029D" w:rsidP="0056029D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四、互动平台的建立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lastRenderedPageBreak/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350712" w:rsidRDefault="00350712" w:rsidP="00350712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56029D">
              <w:rPr>
                <w:rFonts w:hint="eastAsia"/>
              </w:rPr>
              <w:t>通过网络或是实地考察分析红坊创意园区画展的特点</w:t>
            </w:r>
          </w:p>
          <w:p w:rsidR="00350712" w:rsidRDefault="00350712" w:rsidP="00350712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、画展分析</w:t>
            </w:r>
          </w:p>
          <w:p w:rsidR="0056029D" w:rsidRDefault="00350712" w:rsidP="00350712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、展览艺术家材料的搜集</w:t>
            </w:r>
          </w:p>
          <w:p w:rsidR="00350712" w:rsidRDefault="00350712" w:rsidP="00350712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、已有互动平台分析</w:t>
            </w:r>
          </w:p>
          <w:p w:rsidR="00350712" w:rsidRPr="00350712" w:rsidRDefault="00350712" w:rsidP="0056029D">
            <w:pPr>
              <w:ind w:firstLineChars="200" w:firstLine="420"/>
              <w:rPr>
                <w:rFonts w:hint="eastAsia"/>
              </w:rPr>
            </w:pPr>
          </w:p>
          <w:p w:rsidR="0056029D" w:rsidRPr="0056029D" w:rsidRDefault="0056029D" w:rsidP="0056029D">
            <w:pPr>
              <w:ind w:firstLineChars="200" w:firstLine="420"/>
            </w:pP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EE6FD6" w:rsidRDefault="00350712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红坊展区的便利交通</w:t>
            </w:r>
          </w:p>
          <w:p w:rsidR="00350712" w:rsidRDefault="00350712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学生看展的兴趣浓厚</w:t>
            </w:r>
          </w:p>
          <w:p w:rsidR="00350712" w:rsidRPr="00350712" w:rsidRDefault="00350712" w:rsidP="00AC0F09">
            <w:pPr>
              <w:ind w:firstLineChars="200" w:firstLine="420"/>
            </w:pP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EE6FD6" w:rsidRDefault="00350712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热爱绘画，并具有良好的分析和鉴赏能力</w:t>
            </w:r>
          </w:p>
          <w:p w:rsidR="00350712" w:rsidRPr="00350712" w:rsidRDefault="00350712" w:rsidP="00AC0F09">
            <w:pPr>
              <w:ind w:firstLineChars="200" w:firstLine="420"/>
            </w:pP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Default="00B65402" w:rsidP="00B65402"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B65402">
              <w:t>许江</w:t>
            </w:r>
            <w:r w:rsidR="00FB5B0A">
              <w:rPr>
                <w:rFonts w:hint="eastAsia"/>
              </w:rPr>
              <w:t>著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t>绘画的品格</w:t>
            </w:r>
            <w:r>
              <w:t>·2013</w:t>
            </w:r>
            <w:r>
              <w:t>中国油画展</w:t>
            </w:r>
            <w:r>
              <w:rPr>
                <w:rFonts w:hint="eastAsia"/>
              </w:rPr>
              <w:t>.</w:t>
            </w:r>
            <w:r w:rsidRPr="00B65402">
              <w:t xml:space="preserve"> </w:t>
            </w:r>
            <w:r>
              <w:t>中国油画学会编著</w:t>
            </w:r>
            <w:r>
              <w:rPr>
                <w:rFonts w:hint="eastAsia"/>
              </w:rPr>
              <w:t>.</w:t>
            </w:r>
            <w:r w:rsidRPr="00B65402">
              <w:t>2013</w:t>
            </w:r>
            <w:r w:rsidRPr="00B65402">
              <w:t>年</w:t>
            </w:r>
            <w:r w:rsidRPr="00B65402">
              <w:t>12</w:t>
            </w:r>
            <w:r w:rsidRPr="00B65402">
              <w:t>月</w:t>
            </w:r>
            <w:r w:rsidRPr="00B65402">
              <w:rPr>
                <w:rFonts w:hint="eastAsia"/>
              </w:rPr>
              <w:t>第一版</w:t>
            </w:r>
            <w:r w:rsidRPr="00B65402">
              <w:rPr>
                <w:rFonts w:hint="eastAsia"/>
              </w:rPr>
              <w:t>.</w:t>
            </w:r>
            <w:r>
              <w:t xml:space="preserve"> ISBN</w:t>
            </w:r>
            <w:r>
              <w:t>：</w:t>
            </w:r>
            <w:r>
              <w:t>9787549403110</w:t>
            </w:r>
          </w:p>
          <w:p w:rsidR="00B65402" w:rsidRDefault="00B65402" w:rsidP="00FB5B0A"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="00FB5B0A" w:rsidRPr="00FB5B0A">
              <w:t>（英）</w:t>
            </w:r>
            <w:hyperlink r:id="rId7" w:tgtFrame="_blank" w:history="1">
              <w:r w:rsidR="00FB5B0A" w:rsidRPr="00FB5B0A">
                <w:t>盖尔</w:t>
              </w:r>
            </w:hyperlink>
            <w:r w:rsidR="00FB5B0A" w:rsidRPr="00FB5B0A">
              <w:t>著</w:t>
            </w:r>
            <w:r w:rsidR="00FB5B0A" w:rsidRPr="00FB5B0A">
              <w:rPr>
                <w:rFonts w:hint="eastAsia"/>
              </w:rPr>
              <w:t>,</w:t>
            </w:r>
            <w:hyperlink r:id="rId8" w:tgtFrame="_blank" w:history="1">
              <w:r w:rsidR="00FB5B0A" w:rsidRPr="00FB5B0A">
                <w:t>羽毛</w:t>
              </w:r>
            </w:hyperlink>
            <w:r w:rsidR="00FB5B0A" w:rsidRPr="00FB5B0A">
              <w:rPr>
                <w:rFonts w:hint="eastAsia"/>
              </w:rPr>
              <w:t>.</w:t>
            </w:r>
            <w:r w:rsidR="00FB5B0A" w:rsidRPr="00FB5B0A">
              <w:rPr>
                <w:rFonts w:hint="eastAsia"/>
              </w:rPr>
              <w:t>最后一场画展</w:t>
            </w:r>
            <w:r w:rsidR="00FB5B0A" w:rsidRPr="00FB5B0A">
              <w:t>金城出版社</w:t>
            </w:r>
            <w:r w:rsidR="00FB5B0A" w:rsidRPr="00FB5B0A">
              <w:rPr>
                <w:rFonts w:hint="eastAsia"/>
              </w:rPr>
              <w:t>.</w:t>
            </w:r>
            <w:r w:rsidR="00FB5B0A" w:rsidRPr="00FB5B0A">
              <w:t>2012</w:t>
            </w:r>
            <w:r w:rsidR="00FB5B0A" w:rsidRPr="00FB5B0A">
              <w:t>年</w:t>
            </w:r>
            <w:r w:rsidR="00FB5B0A" w:rsidRPr="00FB5B0A">
              <w:t>5</w:t>
            </w:r>
            <w:r w:rsidR="00FB5B0A" w:rsidRPr="00FB5B0A">
              <w:t>月</w:t>
            </w:r>
            <w:r w:rsidR="00FB5B0A" w:rsidRPr="00FB5B0A">
              <w:rPr>
                <w:rFonts w:hint="eastAsia"/>
              </w:rPr>
              <w:t>.</w:t>
            </w:r>
            <w:r w:rsidR="00FB5B0A" w:rsidRPr="00FB5B0A">
              <w:rPr>
                <w:rFonts w:hint="eastAsia"/>
              </w:rPr>
              <w:t>第一版</w:t>
            </w:r>
            <w:r w:rsidR="00FB5B0A" w:rsidRPr="00FB5B0A">
              <w:rPr>
                <w:rFonts w:hint="eastAsia"/>
              </w:rPr>
              <w:t>.</w:t>
            </w:r>
            <w:r w:rsidR="00FB5B0A">
              <w:t xml:space="preserve"> ISBN</w:t>
            </w:r>
            <w:r w:rsidR="00FB5B0A">
              <w:t>：</w:t>
            </w:r>
            <w:r w:rsidR="00FB5B0A">
              <w:t>9787515503882</w:t>
            </w:r>
          </w:p>
          <w:p w:rsidR="00FB5B0A" w:rsidRDefault="00FB5B0A" w:rsidP="00FB5B0A"/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</w:p>
        </w:tc>
      </w:tr>
    </w:tbl>
    <w:p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63D" w:rsidRDefault="00FA763D" w:rsidP="00EE6FD6">
      <w:r>
        <w:separator/>
      </w:r>
    </w:p>
  </w:endnote>
  <w:endnote w:type="continuationSeparator" w:id="0">
    <w:p w:rsidR="00FA763D" w:rsidRDefault="00FA763D" w:rsidP="00EE6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63D" w:rsidRDefault="00FA763D" w:rsidP="00EE6FD6">
      <w:r>
        <w:separator/>
      </w:r>
    </w:p>
  </w:footnote>
  <w:footnote w:type="continuationSeparator" w:id="0">
    <w:p w:rsidR="00FA763D" w:rsidRDefault="00FA763D" w:rsidP="00EE6F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F3DF7"/>
    <w:multiLevelType w:val="hybridMultilevel"/>
    <w:tmpl w:val="A1D86AC8"/>
    <w:lvl w:ilvl="0" w:tplc="5A943848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170D"/>
    <w:rsid w:val="00033A48"/>
    <w:rsid w:val="00082735"/>
    <w:rsid w:val="000C26EE"/>
    <w:rsid w:val="000E51EE"/>
    <w:rsid w:val="000F3737"/>
    <w:rsid w:val="001029BD"/>
    <w:rsid w:val="00125110"/>
    <w:rsid w:val="00167EC9"/>
    <w:rsid w:val="00281BA8"/>
    <w:rsid w:val="002B7A70"/>
    <w:rsid w:val="00335194"/>
    <w:rsid w:val="00336AA7"/>
    <w:rsid w:val="00350712"/>
    <w:rsid w:val="0035362D"/>
    <w:rsid w:val="003B29F3"/>
    <w:rsid w:val="003C1BE3"/>
    <w:rsid w:val="00470B2B"/>
    <w:rsid w:val="00483052"/>
    <w:rsid w:val="004B33FC"/>
    <w:rsid w:val="00503B89"/>
    <w:rsid w:val="0053613C"/>
    <w:rsid w:val="00555DCC"/>
    <w:rsid w:val="0056029D"/>
    <w:rsid w:val="00653642"/>
    <w:rsid w:val="006543CA"/>
    <w:rsid w:val="00672381"/>
    <w:rsid w:val="006B5E77"/>
    <w:rsid w:val="006D39B9"/>
    <w:rsid w:val="00701787"/>
    <w:rsid w:val="00775EEE"/>
    <w:rsid w:val="0085236F"/>
    <w:rsid w:val="0094170D"/>
    <w:rsid w:val="00992DB2"/>
    <w:rsid w:val="00993B7B"/>
    <w:rsid w:val="00A670B4"/>
    <w:rsid w:val="00A86A2A"/>
    <w:rsid w:val="00A972D6"/>
    <w:rsid w:val="00AC0F09"/>
    <w:rsid w:val="00AD3B1D"/>
    <w:rsid w:val="00B174D3"/>
    <w:rsid w:val="00B27DFB"/>
    <w:rsid w:val="00B65402"/>
    <w:rsid w:val="00BD5BD9"/>
    <w:rsid w:val="00C730B5"/>
    <w:rsid w:val="00C970B0"/>
    <w:rsid w:val="00D50E8B"/>
    <w:rsid w:val="00D56106"/>
    <w:rsid w:val="00D84F1A"/>
    <w:rsid w:val="00DF1321"/>
    <w:rsid w:val="00DF7804"/>
    <w:rsid w:val="00E43FF6"/>
    <w:rsid w:val="00E5742D"/>
    <w:rsid w:val="00E63A36"/>
    <w:rsid w:val="00E66E62"/>
    <w:rsid w:val="00E852DD"/>
    <w:rsid w:val="00EB18F8"/>
    <w:rsid w:val="00EE6FD6"/>
    <w:rsid w:val="00EF7E72"/>
    <w:rsid w:val="00F04DA2"/>
    <w:rsid w:val="00F2648D"/>
    <w:rsid w:val="00F356D0"/>
    <w:rsid w:val="00FA763D"/>
    <w:rsid w:val="00FB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55DCC"/>
    <w:pPr>
      <w:ind w:firstLineChars="200" w:firstLine="420"/>
    </w:pPr>
  </w:style>
  <w:style w:type="character" w:customStyle="1" w:styleId="t1">
    <w:name w:val="t1"/>
    <w:basedOn w:val="a0"/>
    <w:rsid w:val="00B65402"/>
  </w:style>
  <w:style w:type="character" w:styleId="a7">
    <w:name w:val="Hyperlink"/>
    <w:basedOn w:val="a0"/>
    <w:uiPriority w:val="99"/>
    <w:semiHidden/>
    <w:unhideWhenUsed/>
    <w:rsid w:val="00B654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gdang.com/author/%D3%F0%C3%AB_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gdang.com/author/%B8%C7%B6%FB_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215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wanghl</cp:lastModifiedBy>
  <cp:revision>10</cp:revision>
  <dcterms:created xsi:type="dcterms:W3CDTF">2016-03-31T05:57:00Z</dcterms:created>
  <dcterms:modified xsi:type="dcterms:W3CDTF">2016-04-01T16:46:00Z</dcterms:modified>
</cp:coreProperties>
</file>